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E45" w:rsidRPr="00CC7E45" w:rsidRDefault="00CC7E45" w:rsidP="00CC7E45">
      <w:pPr>
        <w:spacing w:after="240" w:line="240" w:lineRule="auto"/>
        <w:outlineLvl w:val="0"/>
        <w:rPr>
          <w:rFonts w:ascii="Georgia" w:eastAsia="Georgia" w:hAnsi="Georgia" w:cs="Times New Roman"/>
          <w:color w:val="2E74B5"/>
          <w:sz w:val="32"/>
          <w:szCs w:val="32"/>
        </w:rPr>
      </w:pPr>
      <w:r w:rsidRPr="00CC7E45">
        <w:rPr>
          <w:rFonts w:ascii="Georgia" w:eastAsia="Georgia" w:hAnsi="Georgia" w:cs="Times New Roman"/>
          <w:b/>
          <w:bCs/>
          <w:color w:val="2E74B5"/>
          <w:sz w:val="44"/>
          <w:szCs w:val="44"/>
        </w:rPr>
        <w:t>The Post-EC Compliance Self-Audit</w:t>
      </w:r>
    </w:p>
    <w:p w:rsidR="00CC7E45" w:rsidRPr="00CC7E45" w:rsidRDefault="00CC7E45" w:rsidP="00CC7E45">
      <w:pPr>
        <w:spacing w:after="8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A 50-point readiness check for six-monthly EC compliance reports.</w:t>
      </w:r>
    </w:p>
    <w:p w:rsidR="00CC7E45" w:rsidRPr="00CC7E45" w:rsidRDefault="00CC7E45" w:rsidP="00CC7E45">
      <w:pPr>
        <w:spacing w:after="8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Built for project proponents, promoters, and compliance teams.</w:t>
      </w:r>
    </w:p>
    <w:p w:rsidR="00CC7E45" w:rsidRPr="00CC7E45" w:rsidRDefault="00CC7E45" w:rsidP="00CC7E45">
      <w:pPr>
        <w:spacing w:after="8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Use this before a report is submitted, reviewed.</w:t>
      </w:r>
    </w:p>
    <w:p w:rsidR="00CC7E45" w:rsidRPr="00CC7E45" w:rsidRDefault="00CC7E45" w:rsidP="00CC7E45">
      <w:pPr>
        <w:spacing w:after="6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 </w:t>
      </w:r>
    </w:p>
    <w:p w:rsidR="00CC7E45" w:rsidRPr="00CC7E45" w:rsidRDefault="00CC7E45" w:rsidP="00CC7E45">
      <w:pPr>
        <w:spacing w:after="10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b/>
          <w:bCs/>
        </w:rPr>
        <w:t>How to score</w:t>
      </w:r>
    </w:p>
    <w:p w:rsidR="00CC7E45" w:rsidRPr="00CC7E45" w:rsidRDefault="00CC7E45" w:rsidP="00CC7E45">
      <w:pPr>
        <w:spacing w:after="6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0 = not available or not evidenced</w:t>
      </w:r>
    </w:p>
    <w:p w:rsidR="00CC7E45" w:rsidRPr="00CC7E45" w:rsidRDefault="00CC7E45" w:rsidP="00CC7E45">
      <w:pPr>
        <w:spacing w:after="6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 = partly available, weak, or outdated</w:t>
      </w:r>
    </w:p>
    <w:p w:rsidR="00CC7E45" w:rsidRPr="00CC7E45" w:rsidRDefault="00CC7E45" w:rsidP="00CC7E45">
      <w:pPr>
        <w:spacing w:after="6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 = complete, current, and traceable</w:t>
      </w:r>
    </w:p>
    <w:p w:rsidR="00CC7E45" w:rsidRPr="00CC7E45" w:rsidRDefault="00CC7E45" w:rsidP="00CC7E45">
      <w:pPr>
        <w:spacing w:after="6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 </w:t>
      </w:r>
    </w:p>
    <w:p w:rsidR="00CC7E45" w:rsidRPr="00CC7E45" w:rsidRDefault="00CC7E45" w:rsidP="00CC7E45">
      <w:pPr>
        <w:spacing w:after="24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b/>
          <w:bCs/>
        </w:rPr>
        <w:t>Total score: 100. Anything below 70 deserves a gap review.</w:t>
      </w:r>
    </w:p>
    <w:p w:rsidR="00CC7E45" w:rsidRPr="00CC7E45" w:rsidRDefault="00CC7E45" w:rsidP="00CC7E45">
      <w:pPr>
        <w:tabs>
          <w:tab w:val="right" w:pos="9000"/>
        </w:tabs>
        <w:spacing w:after="36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b/>
          <w:bCs/>
        </w:rPr>
        <w:t>Grand total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b/>
          <w:bCs/>
          <w:color w:val="666666"/>
        </w:rPr>
        <w:t>________ / 100</w:t>
      </w:r>
    </w:p>
    <w:p w:rsidR="00CC7E45" w:rsidRPr="00CC7E45" w:rsidRDefault="00CC7E45" w:rsidP="00CC7E45">
      <w:pPr>
        <w:keepNext/>
        <w:spacing w:before="360" w:after="180" w:line="240" w:lineRule="auto"/>
        <w:outlineLvl w:val="1"/>
        <w:rPr>
          <w:rFonts w:ascii="Georgia" w:eastAsia="Georgia" w:hAnsi="Georgia" w:cs="Times New Roman"/>
          <w:color w:val="2E74B5"/>
          <w:sz w:val="26"/>
          <w:szCs w:val="26"/>
        </w:rPr>
      </w:pPr>
      <w:r w:rsidRPr="00CC7E45">
        <w:rPr>
          <w:rFonts w:ascii="Georgia" w:eastAsia="Georgia" w:hAnsi="Georgia" w:cs="Times New Roman"/>
          <w:b/>
          <w:bCs/>
          <w:color w:val="2E74B5"/>
          <w:sz w:val="28"/>
          <w:szCs w:val="28"/>
        </w:rPr>
        <w:t>1. EC Condition Register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1. Every EC condition is mapped into a live register.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2. Responsibility is assigned to a named owner, not a department.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3. Each condition has an evidence type and an evidence location.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4. One-time conditions are separated from recurring conditions.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5. Site-specific conditions are not collapsed into generic actions.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6. Amendments, corrigenda, and expansion approvals are reflected.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7. Pending actions have target dates and escalation owners.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180" w:after="24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i/>
          <w:iCs/>
        </w:rPr>
        <w:t>Section subtotal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i/>
          <w:iCs/>
          <w:color w:val="666666"/>
        </w:rPr>
        <w:t>________ / 14</w:t>
      </w:r>
    </w:p>
    <w:p w:rsidR="00CC7E45" w:rsidRPr="00CC7E45" w:rsidRDefault="00CC7E45" w:rsidP="00CC7E45">
      <w:pPr>
        <w:keepNext/>
        <w:spacing w:before="360" w:after="180" w:line="240" w:lineRule="auto"/>
        <w:outlineLvl w:val="1"/>
        <w:rPr>
          <w:rFonts w:ascii="Georgia" w:eastAsia="Georgia" w:hAnsi="Georgia" w:cs="Times New Roman"/>
          <w:color w:val="2E74B5"/>
          <w:sz w:val="26"/>
          <w:szCs w:val="26"/>
        </w:rPr>
      </w:pPr>
      <w:r w:rsidRPr="00CC7E45">
        <w:rPr>
          <w:rFonts w:ascii="Georgia" w:eastAsia="Georgia" w:hAnsi="Georgia" w:cs="Times New Roman"/>
          <w:b/>
          <w:bCs/>
          <w:color w:val="2E74B5"/>
          <w:sz w:val="28"/>
          <w:szCs w:val="28"/>
        </w:rPr>
        <w:t>2. Monitoring, Data, and Consent Alignment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8. Consent limits are compared with monitoring results.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9. Monitoring frequency matches EC and consent conditions.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10. Lab reports are from </w:t>
      </w:r>
      <w:proofErr w:type="spellStart"/>
      <w:r w:rsidRPr="00CC7E45">
        <w:rPr>
          <w:rFonts w:ascii="Georgia" w:eastAsia="Georgia" w:hAnsi="Georgia" w:cs="Georgia"/>
        </w:rPr>
        <w:t>recognised</w:t>
      </w:r>
      <w:proofErr w:type="spellEnd"/>
      <w:r w:rsidRPr="00CC7E45">
        <w:rPr>
          <w:rFonts w:ascii="Georgia" w:eastAsia="Georgia" w:hAnsi="Georgia" w:cs="Georgia"/>
        </w:rPr>
        <w:t xml:space="preserve"> and traceable laboratories.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11. </w:t>
      </w:r>
      <w:proofErr w:type="spellStart"/>
      <w:r w:rsidRPr="00CC7E45">
        <w:rPr>
          <w:rFonts w:ascii="Georgia" w:eastAsia="Georgia" w:hAnsi="Georgia" w:cs="Georgia"/>
        </w:rPr>
        <w:t>Exceedances</w:t>
      </w:r>
      <w:proofErr w:type="spellEnd"/>
      <w:r w:rsidRPr="00CC7E45">
        <w:rPr>
          <w:rFonts w:ascii="Georgia" w:eastAsia="Georgia" w:hAnsi="Georgia" w:cs="Georgia"/>
        </w:rPr>
        <w:t xml:space="preserve"> are explained with corrective-action evidence.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12. CTE, CTO, and renewal dates are current in the register.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13. Water, air, waste, and hazardous-waste data reconcile internally.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14. Raw monitoring data is retained, not only summary tables.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180" w:after="24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i/>
          <w:iCs/>
        </w:rPr>
        <w:t>Section subtotal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i/>
          <w:iCs/>
          <w:color w:val="666666"/>
        </w:rPr>
        <w:t>________ / 14</w:t>
      </w:r>
    </w:p>
    <w:p w:rsidR="00CC7E45" w:rsidRPr="00CC7E45" w:rsidRDefault="00CC7E45" w:rsidP="00CC7E45">
      <w:pPr>
        <w:keepNext/>
        <w:spacing w:before="360" w:after="180" w:line="240" w:lineRule="auto"/>
        <w:outlineLvl w:val="1"/>
        <w:rPr>
          <w:rFonts w:ascii="Georgia" w:eastAsia="Georgia" w:hAnsi="Georgia" w:cs="Times New Roman"/>
          <w:color w:val="2E74B5"/>
          <w:sz w:val="26"/>
          <w:szCs w:val="26"/>
        </w:rPr>
      </w:pPr>
      <w:r w:rsidRPr="00CC7E45">
        <w:rPr>
          <w:rFonts w:ascii="Georgia" w:eastAsia="Georgia" w:hAnsi="Georgia" w:cs="Times New Roman"/>
          <w:b/>
          <w:bCs/>
          <w:color w:val="2E74B5"/>
          <w:sz w:val="28"/>
          <w:szCs w:val="28"/>
        </w:rPr>
        <w:lastRenderedPageBreak/>
        <w:t>3. Six-Monthly Compliance Report Quality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15. The SMCR covers the correct April–September or October–March period.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16. Each EC condition receives a condition-wise response.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17. No response relies only on “complied” without evidence.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18. Attachments are numbered and cross-referenced in the report.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19. Photographs include date, location, and activity context.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20. Non-compliances are disclosed with time-bound action plans.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21. The report is signed by an </w:t>
      </w:r>
      <w:proofErr w:type="spellStart"/>
      <w:r w:rsidRPr="00CC7E45">
        <w:rPr>
          <w:rFonts w:ascii="Georgia" w:eastAsia="Georgia" w:hAnsi="Georgia" w:cs="Georgia"/>
        </w:rPr>
        <w:t>authorised</w:t>
      </w:r>
      <w:proofErr w:type="spellEnd"/>
      <w:r w:rsidRPr="00CC7E45">
        <w:rPr>
          <w:rFonts w:ascii="Georgia" w:eastAsia="Georgia" w:hAnsi="Georgia" w:cs="Georgia"/>
        </w:rPr>
        <w:t xml:space="preserve"> person.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180" w:after="24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i/>
          <w:iCs/>
        </w:rPr>
        <w:t>Section subtotal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i/>
          <w:iCs/>
          <w:color w:val="666666"/>
        </w:rPr>
        <w:t>________ / 14</w:t>
      </w:r>
    </w:p>
    <w:p w:rsidR="00CC7E45" w:rsidRPr="00CC7E45" w:rsidRDefault="00CC7E45" w:rsidP="00CC7E45">
      <w:pPr>
        <w:keepNext/>
        <w:spacing w:before="360" w:after="180" w:line="240" w:lineRule="auto"/>
        <w:outlineLvl w:val="1"/>
        <w:rPr>
          <w:rFonts w:ascii="Georgia" w:eastAsia="Georgia" w:hAnsi="Georgia" w:cs="Times New Roman"/>
          <w:color w:val="2E74B5"/>
          <w:sz w:val="26"/>
          <w:szCs w:val="26"/>
        </w:rPr>
      </w:pPr>
      <w:r w:rsidRPr="00CC7E45">
        <w:rPr>
          <w:rFonts w:ascii="Georgia" w:eastAsia="Georgia" w:hAnsi="Georgia" w:cs="Times New Roman"/>
          <w:b/>
          <w:bCs/>
          <w:color w:val="2E74B5"/>
          <w:sz w:val="28"/>
          <w:szCs w:val="28"/>
        </w:rPr>
        <w:t>4. Environmental Systems and Site Operations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22. Plantation, greenbelt, and survival data are site-specific with dated photographs.</w:t>
      </w:r>
      <w:r w:rsidRPr="00CC7E45"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color w:val="666666"/>
        </w:rPr>
        <w:t>____</w:t>
      </w:r>
      <w:r w:rsidRPr="00CC7E45">
        <w:rPr>
          <w:rFonts w:ascii="Georgia" w:eastAsia="Georgia" w:hAnsi="Georgia" w:cs="Georgia"/>
          <w:color w:val="666666"/>
        </w:rPr>
        <w:t>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23. CER commitments are supported by payment and completion proof.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24. EMP implementation is documented with a responsibility matrix.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25. Environmental cell meetings are </w:t>
      </w:r>
      <w:proofErr w:type="spellStart"/>
      <w:r w:rsidRPr="00CC7E45">
        <w:rPr>
          <w:rFonts w:ascii="Georgia" w:eastAsia="Georgia" w:hAnsi="Georgia" w:cs="Georgia"/>
        </w:rPr>
        <w:t>minuted</w:t>
      </w:r>
      <w:proofErr w:type="spellEnd"/>
      <w:r w:rsidRPr="00CC7E45">
        <w:rPr>
          <w:rFonts w:ascii="Georgia" w:eastAsia="Georgia" w:hAnsi="Georgia" w:cs="Georgia"/>
        </w:rPr>
        <w:t xml:space="preserve"> and action-tracked.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26. Training records show topic, attendance, and trainer details.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27. OHS records — PPE issuance, incident register, first-aid logs — are maintained.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28. Emergency response plan is documented and mock drills are on schedule.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29. Waste manifests, invoices, and recycler </w:t>
      </w:r>
      <w:proofErr w:type="spellStart"/>
      <w:r w:rsidRPr="00CC7E45">
        <w:rPr>
          <w:rFonts w:ascii="Georgia" w:eastAsia="Georgia" w:hAnsi="Georgia" w:cs="Georgia"/>
        </w:rPr>
        <w:t>authorisations</w:t>
      </w:r>
      <w:proofErr w:type="spellEnd"/>
      <w:r w:rsidRPr="00CC7E45">
        <w:rPr>
          <w:rFonts w:ascii="Georgia" w:eastAsia="Georgia" w:hAnsi="Georgia" w:cs="Georgia"/>
        </w:rPr>
        <w:t xml:space="preserve"> are retained.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30. Waste-handling vendor agreements are within validity.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31. STP or ETP capacity, O&amp;M logs, and treated-water reuse are documented.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32. Rainwater harvesting pits, silt traps, and recharge tests have current logs.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33. DG sets meet CPCB norms — acoustic enclosure, stack height, emission testing.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34. Fire-safety systems — pumps, sprinklers, alarms — are tested with dated logs.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35. Energy and water conservation measures are quantified with meter or bill data.</w:t>
      </w:r>
      <w:r w:rsidRPr="00CC7E45"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color w:val="666666"/>
        </w:rPr>
        <w:t>______</w:t>
      </w:r>
      <w:bookmarkStart w:id="0" w:name="_GoBack"/>
      <w:bookmarkEnd w:id="0"/>
      <w:r w:rsidRPr="00CC7E45">
        <w:rPr>
          <w:rFonts w:ascii="Georgia" w:eastAsia="Georgia" w:hAnsi="Georgia" w:cs="Georgia"/>
          <w:color w:val="666666"/>
        </w:rPr>
        <w:t>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36. Internal environmental audit is completed with corrective actions closed.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180" w:after="24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i/>
          <w:iCs/>
        </w:rPr>
        <w:t>Section subtotal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i/>
          <w:iCs/>
          <w:color w:val="666666"/>
        </w:rPr>
        <w:t>________ / 30</w:t>
      </w:r>
    </w:p>
    <w:p w:rsidR="00CC7E45" w:rsidRPr="00CC7E45" w:rsidRDefault="00CC7E45" w:rsidP="00CC7E45">
      <w:pPr>
        <w:keepNext/>
        <w:spacing w:before="360" w:after="180" w:line="240" w:lineRule="auto"/>
        <w:outlineLvl w:val="1"/>
        <w:rPr>
          <w:rFonts w:ascii="Georgia" w:eastAsia="Georgia" w:hAnsi="Georgia" w:cs="Times New Roman"/>
          <w:color w:val="2E74B5"/>
          <w:sz w:val="26"/>
          <w:szCs w:val="26"/>
        </w:rPr>
      </w:pPr>
      <w:r w:rsidRPr="00CC7E45">
        <w:rPr>
          <w:rFonts w:ascii="Georgia" w:eastAsia="Georgia" w:hAnsi="Georgia" w:cs="Times New Roman"/>
          <w:b/>
          <w:bCs/>
          <w:color w:val="2E74B5"/>
          <w:sz w:val="28"/>
          <w:szCs w:val="28"/>
        </w:rPr>
        <w:t>5. Statutory Approvals, Disclosure, and Authority Readiness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37. Reports are submitted to the correct authority within deadline.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38. Environmental Statement in Form V is filed with SPCB acknowledgment.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lastRenderedPageBreak/>
        <w:t>39. All statutory NOCs — Fire, Airport, Forest, Explosives, Water Assurance, CGWA — are within validity.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40. On-site development matches the layout and building drawings approved with the EC.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41. CAQM directions are complied with, for projects within the NCR.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42. Website disclosure links work and remain publicly accessible.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43. On-site display of EC summary and monitoring data is current and legible.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44. Site-inspection observations from authorities have closure evidence on file.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45. Grievance and public-complaint records are logged and tracked.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46. Previous deficiency letters have been closed with evidence.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47. EDS or clarification replies are indexed and retrievable.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48. Violation notices, litigation, and stay orders are documented with case reference and current status.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49. The latest report is consistent with facts in earlier submissions.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60" w:after="60" w:line="300" w:lineRule="auto"/>
        <w:ind w:left="360" w:hanging="360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50. Material changes in capacity, product, or process — and any renewal or expansion filing — use the same compliance baseline.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color w:val="666666"/>
        </w:rPr>
        <w:t>________ / 2</w:t>
      </w:r>
    </w:p>
    <w:p w:rsidR="00CC7E45" w:rsidRPr="00CC7E45" w:rsidRDefault="00CC7E45" w:rsidP="00CC7E45">
      <w:pPr>
        <w:tabs>
          <w:tab w:val="right" w:pos="9000"/>
        </w:tabs>
        <w:spacing w:before="180" w:after="24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i/>
          <w:iCs/>
        </w:rPr>
        <w:t>Section subtotal</w:t>
      </w:r>
      <w:r w:rsidRPr="00CC7E45">
        <w:rPr>
          <w:rFonts w:ascii="Georgia" w:eastAsia="Georgia" w:hAnsi="Georgia" w:cs="Georgia"/>
        </w:rPr>
        <w:tab/>
      </w:r>
      <w:r w:rsidRPr="00CC7E45">
        <w:rPr>
          <w:rFonts w:ascii="Georgia" w:eastAsia="Georgia" w:hAnsi="Georgia" w:cs="Georgia"/>
          <w:i/>
          <w:iCs/>
          <w:color w:val="666666"/>
        </w:rPr>
        <w:t>________ / 28</w:t>
      </w:r>
    </w:p>
    <w:p w:rsidR="00CC7E45" w:rsidRPr="00CC7E45" w:rsidRDefault="00CC7E45" w:rsidP="00CC7E45">
      <w:pPr>
        <w:keepNext/>
        <w:spacing w:before="360" w:after="180" w:line="240" w:lineRule="auto"/>
        <w:outlineLvl w:val="1"/>
        <w:rPr>
          <w:rFonts w:ascii="Georgia" w:eastAsia="Georgia" w:hAnsi="Georgia" w:cs="Times New Roman"/>
          <w:color w:val="2E74B5"/>
          <w:sz w:val="26"/>
          <w:szCs w:val="26"/>
        </w:rPr>
      </w:pPr>
      <w:r w:rsidRPr="00CC7E45">
        <w:rPr>
          <w:rFonts w:ascii="Georgia" w:eastAsia="Georgia" w:hAnsi="Georgia" w:cs="Times New Roman"/>
          <w:b/>
          <w:bCs/>
          <w:color w:val="2E74B5"/>
          <w:sz w:val="28"/>
          <w:szCs w:val="28"/>
        </w:rPr>
        <w:t>6. Gap Review Trigger Points</w:t>
      </w:r>
    </w:p>
    <w:p w:rsidR="00CC7E45" w:rsidRPr="00CC7E45" w:rsidRDefault="00CC7E45" w:rsidP="00CC7E45">
      <w:pPr>
        <w:spacing w:after="14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i/>
          <w:iCs/>
        </w:rPr>
        <w:t>Any one of these means the report is not ready for submission:</w:t>
      </w:r>
    </w:p>
    <w:p w:rsidR="00CC7E45" w:rsidRPr="00CC7E45" w:rsidRDefault="00CC7E45" w:rsidP="00CC7E45">
      <w:pPr>
        <w:spacing w:before="40" w:after="40" w:line="300" w:lineRule="auto"/>
        <w:ind w:left="360" w:hanging="240"/>
        <w:rPr>
          <w:rFonts w:ascii="Georgia" w:eastAsia="Georgia" w:hAnsi="Georgia" w:cs="Georgia"/>
        </w:rPr>
      </w:pPr>
      <w:proofErr w:type="gramStart"/>
      <w:r w:rsidRPr="00CC7E45">
        <w:rPr>
          <w:rFonts w:ascii="Georgia" w:eastAsia="Georgia" w:hAnsi="Georgia" w:cs="Georgia"/>
        </w:rPr>
        <w:t>—  Total</w:t>
      </w:r>
      <w:proofErr w:type="gramEnd"/>
      <w:r w:rsidRPr="00CC7E45">
        <w:rPr>
          <w:rFonts w:ascii="Georgia" w:eastAsia="Georgia" w:hAnsi="Georgia" w:cs="Georgia"/>
        </w:rPr>
        <w:t xml:space="preserve"> score below 70 out of 100.</w:t>
      </w:r>
    </w:p>
    <w:p w:rsidR="00CC7E45" w:rsidRPr="00CC7E45" w:rsidRDefault="00CC7E45" w:rsidP="00CC7E45">
      <w:pPr>
        <w:spacing w:before="40" w:after="40" w:line="300" w:lineRule="auto"/>
        <w:ind w:left="360" w:hanging="240"/>
        <w:rPr>
          <w:rFonts w:ascii="Georgia" w:eastAsia="Georgia" w:hAnsi="Georgia" w:cs="Georgia"/>
        </w:rPr>
      </w:pPr>
      <w:proofErr w:type="gramStart"/>
      <w:r w:rsidRPr="00CC7E45">
        <w:rPr>
          <w:rFonts w:ascii="Georgia" w:eastAsia="Georgia" w:hAnsi="Georgia" w:cs="Georgia"/>
        </w:rPr>
        <w:t>—  Any</w:t>
      </w:r>
      <w:proofErr w:type="gramEnd"/>
      <w:r w:rsidRPr="00CC7E45">
        <w:rPr>
          <w:rFonts w:ascii="Georgia" w:eastAsia="Georgia" w:hAnsi="Georgia" w:cs="Georgia"/>
        </w:rPr>
        <w:t xml:space="preserve"> zero against monitoring, consent, disclosure, or submission.</w:t>
      </w:r>
    </w:p>
    <w:p w:rsidR="00CC7E45" w:rsidRPr="00CC7E45" w:rsidRDefault="00CC7E45" w:rsidP="00CC7E45">
      <w:pPr>
        <w:spacing w:before="40" w:after="40" w:line="300" w:lineRule="auto"/>
        <w:ind w:left="360" w:hanging="240"/>
        <w:rPr>
          <w:rFonts w:ascii="Georgia" w:eastAsia="Georgia" w:hAnsi="Georgia" w:cs="Georgia"/>
        </w:rPr>
      </w:pPr>
      <w:proofErr w:type="gramStart"/>
      <w:r w:rsidRPr="00CC7E45">
        <w:rPr>
          <w:rFonts w:ascii="Georgia" w:eastAsia="Georgia" w:hAnsi="Georgia" w:cs="Georgia"/>
        </w:rPr>
        <w:t>—  Any</w:t>
      </w:r>
      <w:proofErr w:type="gramEnd"/>
      <w:r w:rsidRPr="00CC7E45">
        <w:rPr>
          <w:rFonts w:ascii="Georgia" w:eastAsia="Georgia" w:hAnsi="Georgia" w:cs="Georgia"/>
        </w:rPr>
        <w:t xml:space="preserve"> returned or deficiency-marked compliance report.</w:t>
      </w:r>
    </w:p>
    <w:p w:rsidR="00CC7E45" w:rsidRPr="00CC7E45" w:rsidRDefault="00CC7E45" w:rsidP="00CC7E45">
      <w:pPr>
        <w:spacing w:before="40" w:after="40" w:line="300" w:lineRule="auto"/>
        <w:ind w:left="360" w:hanging="240"/>
        <w:rPr>
          <w:rFonts w:ascii="Georgia" w:eastAsia="Georgia" w:hAnsi="Georgia" w:cs="Georgia"/>
        </w:rPr>
      </w:pPr>
      <w:proofErr w:type="gramStart"/>
      <w:r w:rsidRPr="00CC7E45">
        <w:rPr>
          <w:rFonts w:ascii="Georgia" w:eastAsia="Georgia" w:hAnsi="Georgia" w:cs="Georgia"/>
        </w:rPr>
        <w:t>—  Any</w:t>
      </w:r>
      <w:proofErr w:type="gramEnd"/>
      <w:r w:rsidRPr="00CC7E45">
        <w:rPr>
          <w:rFonts w:ascii="Georgia" w:eastAsia="Georgia" w:hAnsi="Georgia" w:cs="Georgia"/>
        </w:rPr>
        <w:t xml:space="preserve"> major amendment, renewal, expansion, or inspection due soon.</w:t>
      </w:r>
    </w:p>
    <w:p w:rsidR="00CC7E45" w:rsidRPr="00CC7E45" w:rsidRDefault="00CC7E45" w:rsidP="00CC7E45">
      <w:pPr>
        <w:spacing w:before="40" w:after="40" w:line="300" w:lineRule="auto"/>
        <w:ind w:left="360" w:hanging="240"/>
        <w:rPr>
          <w:rFonts w:ascii="Georgia" w:eastAsia="Georgia" w:hAnsi="Georgia" w:cs="Georgia"/>
        </w:rPr>
      </w:pPr>
      <w:proofErr w:type="gramStart"/>
      <w:r w:rsidRPr="00CC7E45">
        <w:rPr>
          <w:rFonts w:ascii="Georgia" w:eastAsia="Georgia" w:hAnsi="Georgia" w:cs="Georgia"/>
        </w:rPr>
        <w:t>—  Any</w:t>
      </w:r>
      <w:proofErr w:type="gramEnd"/>
      <w:r w:rsidRPr="00CC7E45">
        <w:rPr>
          <w:rFonts w:ascii="Georgia" w:eastAsia="Georgia" w:hAnsi="Georgia" w:cs="Georgia"/>
        </w:rPr>
        <w:t xml:space="preserve"> evidence that exists only in email threads or informal files.</w:t>
      </w:r>
    </w:p>
    <w:p w:rsidR="00CC7E45" w:rsidRPr="00CC7E45" w:rsidRDefault="00CC7E45" w:rsidP="00CC7E45">
      <w:pPr>
        <w:spacing w:after="20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 xml:space="preserve"> </w:t>
      </w:r>
    </w:p>
    <w:p w:rsidR="00CC7E45" w:rsidRPr="00CC7E45" w:rsidRDefault="00CC7E45" w:rsidP="00CC7E45">
      <w:pPr>
        <w:spacing w:after="8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  <w:b/>
          <w:bCs/>
        </w:rPr>
        <w:t xml:space="preserve">Next step: Book a 30-minute Gap Review with </w:t>
      </w:r>
      <w:proofErr w:type="spellStart"/>
      <w:r w:rsidRPr="00CC7E45">
        <w:rPr>
          <w:rFonts w:ascii="Georgia" w:eastAsia="Georgia" w:hAnsi="Georgia" w:cs="Georgia"/>
          <w:b/>
          <w:bCs/>
        </w:rPr>
        <w:t>Testa</w:t>
      </w:r>
      <w:proofErr w:type="spellEnd"/>
      <w:r w:rsidRPr="00CC7E45">
        <w:rPr>
          <w:rFonts w:ascii="Georgia" w:eastAsia="Georgia" w:hAnsi="Georgia" w:cs="Georgia"/>
          <w:b/>
          <w:bCs/>
        </w:rPr>
        <w:t xml:space="preserve"> &amp; </w:t>
      </w:r>
      <w:proofErr w:type="spellStart"/>
      <w:r w:rsidRPr="00CC7E45">
        <w:rPr>
          <w:rFonts w:ascii="Georgia" w:eastAsia="Georgia" w:hAnsi="Georgia" w:cs="Georgia"/>
          <w:b/>
          <w:bCs/>
        </w:rPr>
        <w:t>Tegmen</w:t>
      </w:r>
      <w:proofErr w:type="spellEnd"/>
      <w:r w:rsidRPr="00CC7E45">
        <w:rPr>
          <w:rFonts w:ascii="Georgia" w:eastAsia="Georgia" w:hAnsi="Georgia" w:cs="Georgia"/>
          <w:b/>
          <w:bCs/>
        </w:rPr>
        <w:t>.</w:t>
      </w:r>
    </w:p>
    <w:p w:rsidR="00CC7E45" w:rsidRPr="00CC7E45" w:rsidRDefault="00CC7E45" w:rsidP="00CC7E45">
      <w:pPr>
        <w:spacing w:after="0" w:line="300" w:lineRule="auto"/>
        <w:rPr>
          <w:rFonts w:ascii="Georgia" w:eastAsia="Georgia" w:hAnsi="Georgia" w:cs="Georgia"/>
        </w:rPr>
      </w:pPr>
      <w:r w:rsidRPr="00CC7E45">
        <w:rPr>
          <w:rFonts w:ascii="Georgia" w:eastAsia="Georgia" w:hAnsi="Georgia" w:cs="Georgia"/>
        </w:rPr>
        <w:t>Contact: testategmen.com/contact</w:t>
      </w:r>
    </w:p>
    <w:p w:rsidR="00ED2EE7" w:rsidRDefault="00ED2EE7"/>
    <w:sectPr w:rsidR="00ED2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58"/>
    <w:rsid w:val="00CC7E45"/>
    <w:rsid w:val="00ED2EE7"/>
    <w:rsid w:val="00F1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3AD11-F7FA-4A5C-9D3D-BF3AC28E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2026-07-09T05:59:00Z</dcterms:created>
  <dcterms:modified xsi:type="dcterms:W3CDTF">2026-07-09T06:00:00Z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5169ee39-391d-49c2-990d-8eaa266427aa</vt:lpwstr>
  </property>
</Properties>
</file>